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FB" w:rsidRDefault="00952E31">
      <w:pPr>
        <w:jc w:val="right"/>
      </w:pPr>
      <w:proofErr w:type="gramStart"/>
      <w:r>
        <w:t>Утверждена</w:t>
      </w:r>
      <w:proofErr w:type="gramEnd"/>
      <w:r>
        <w:t xml:space="preserve"> приказом </w:t>
      </w:r>
    </w:p>
    <w:p w:rsidR="004D5DFB" w:rsidRDefault="00952E31">
      <w:pPr>
        <w:jc w:val="right"/>
      </w:pPr>
      <w:r>
        <w:t>Межрайонной  ИФНС России № 18</w:t>
      </w:r>
    </w:p>
    <w:p w:rsidR="004D5DFB" w:rsidRDefault="00952E31">
      <w:pPr>
        <w:jc w:val="right"/>
      </w:pPr>
      <w:r>
        <w:t xml:space="preserve"> по Иркутской области </w:t>
      </w:r>
    </w:p>
    <w:p w:rsidR="004D5DFB" w:rsidRDefault="00952E31">
      <w:pPr>
        <w:pStyle w:val="ConsPlusNormal"/>
        <w:ind w:firstLine="540"/>
        <w:jc w:val="right"/>
        <w:rPr>
          <w:rFonts w:ascii="Times New Roman" w:hAnsi="Times New Roman"/>
          <w:b/>
          <w:i/>
          <w:sz w:val="24"/>
        </w:rPr>
      </w:pPr>
      <w:r>
        <w:t xml:space="preserve">                            от   31.12.2019  № 02-06/12/22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      </w:t>
      </w:r>
    </w:p>
    <w:p w:rsidR="004D5DFB" w:rsidRDefault="004D5DFB">
      <w:pPr>
        <w:pStyle w:val="ConsPlusNormal"/>
        <w:ind w:firstLine="540"/>
        <w:jc w:val="right"/>
        <w:rPr>
          <w:b/>
          <w:i/>
        </w:rPr>
      </w:pPr>
    </w:p>
    <w:p w:rsidR="004D5DFB" w:rsidRDefault="00952E31">
      <w:pPr>
        <w:pStyle w:val="4"/>
        <w:spacing w:before="0"/>
        <w:jc w:val="center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Учётная политика Межрайонной ИФНС России № 18 по Иркутской области</w:t>
      </w:r>
    </w:p>
    <w:p w:rsidR="004D5DFB" w:rsidRDefault="00952E31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для целей бюджетного и налогового учета на 2020 год</w:t>
      </w:r>
    </w:p>
    <w:p w:rsidR="004D5DFB" w:rsidRDefault="00952E31">
      <w:pPr>
        <w:pStyle w:val="4"/>
        <w:spacing w:before="0"/>
        <w:jc w:val="center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 </w:t>
      </w:r>
    </w:p>
    <w:p w:rsidR="004D5DFB" w:rsidRDefault="00952E31">
      <w:pPr>
        <w:jc w:val="center"/>
        <w:rPr>
          <w:b/>
        </w:rPr>
      </w:pPr>
      <w:r>
        <w:rPr>
          <w:b/>
        </w:rPr>
        <w:t>I. Основные положения</w:t>
      </w:r>
    </w:p>
    <w:p w:rsidR="004D5DFB" w:rsidRDefault="004D5DFB">
      <w:pPr>
        <w:pStyle w:val="ConsPlusNormal"/>
        <w:ind w:firstLine="539"/>
        <w:jc w:val="both"/>
        <w:rPr>
          <w:rFonts w:ascii="Times New Roman" w:hAnsi="Times New Roman"/>
          <w:sz w:val="24"/>
        </w:rPr>
      </w:pPr>
    </w:p>
    <w:p w:rsidR="004D5DFB" w:rsidRDefault="00952E31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Инспекция является территориальным органом Федеральной налоговой службы (далее – ФНС России) в Иркутской области и входит в единую централизованную систему налоговых органов.</w:t>
      </w:r>
    </w:p>
    <w:p w:rsidR="004D5DFB" w:rsidRDefault="00952E3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Инспекция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к</w:t>
      </w:r>
      <w:proofErr w:type="gramEnd"/>
      <w:r>
        <w:rPr>
          <w:rFonts w:ascii="Times New Roman" w:hAnsi="Times New Roman"/>
          <w:sz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4D5DFB" w:rsidRDefault="00952E3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Инспекция осуществляет свою деятельность во взаимодействии с территориальными органами федеральных органов исполнительной власти,  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4D5DFB" w:rsidRDefault="00952E3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Инспекция представляет финансовым органам Иркутской области, информацию о начисленных, уплаченных суммах по видам налогов, сборов и иных обязательных платежей, о суммах задолженности по ним, а также сведения о налоговой базе и структуре  начислений по налогам и сборам, формирующим в соответствии с Бюджетным кодексом Российской Федерации доходы бюджетов Иркутской области и местных бюджетов. </w:t>
      </w:r>
      <w:proofErr w:type="gramEnd"/>
    </w:p>
    <w:p w:rsidR="004D5DFB" w:rsidRDefault="00952E3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Инспекция является юридическим лицом, финансирование расходов на содержание осуществляется за счёт средств, предусмотренных в федеральном бюджете. Инспекция осуществляет функции получателя средств федерального бюджета. Для нужд Инспекции </w:t>
      </w:r>
      <w:proofErr w:type="gramStart"/>
      <w:r>
        <w:rPr>
          <w:rFonts w:ascii="Times New Roman" w:hAnsi="Times New Roman"/>
          <w:sz w:val="24"/>
        </w:rPr>
        <w:t>осуществляются закупки товаров, работ, услуг,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нужд, от имени Российской Федерации заключает государственные контракты, иные договора в пределах доведенных лимитов бюджетных обязательств, с учётом принятых и неисполненных обязательств.</w:t>
      </w:r>
      <w:proofErr w:type="gramEnd"/>
    </w:p>
    <w:p w:rsidR="004D5DFB" w:rsidRDefault="00952E3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Инспекции утверждает в пределах установленной численности и фонда оплаты труда штатное расписание Инспекции. </w:t>
      </w: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952E31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1</w:t>
      </w:r>
    </w:p>
    <w:p w:rsidR="004D5DFB" w:rsidRDefault="00952E31">
      <w:pPr>
        <w:pStyle w:val="ConsPlusNormal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приказу</w:t>
      </w:r>
    </w:p>
    <w:p w:rsidR="004D5DFB" w:rsidRDefault="00952E31">
      <w:pPr>
        <w:pStyle w:val="ConsPlusNormal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31.12.2019 № 02-06/12/22</w:t>
      </w:r>
    </w:p>
    <w:p w:rsidR="004D5DFB" w:rsidRDefault="004D5DFB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4D5DFB" w:rsidRDefault="00952E31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Учетная политика</w:t>
      </w:r>
    </w:p>
    <w:p w:rsidR="004D5DFB" w:rsidRDefault="00952E31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Инспекции для целей бюджетного учета</w:t>
      </w:r>
    </w:p>
    <w:p w:rsidR="004D5DFB" w:rsidRDefault="004D5DFB">
      <w:pPr>
        <w:pStyle w:val="ConsPlusNormal"/>
        <w:jc w:val="both"/>
        <w:rPr>
          <w:rFonts w:ascii="Times New Roman" w:hAnsi="Times New Roman"/>
          <w:sz w:val="24"/>
        </w:rPr>
      </w:pPr>
    </w:p>
    <w:p w:rsidR="004D5DFB" w:rsidRDefault="00952E31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I. Организационная часть</w:t>
      </w:r>
    </w:p>
    <w:p w:rsidR="004D5DFB" w:rsidRDefault="004D5DFB">
      <w:pPr>
        <w:pStyle w:val="ConsPlusNormal"/>
        <w:jc w:val="both"/>
        <w:rPr>
          <w:rFonts w:ascii="Times New Roman" w:hAnsi="Times New Roman"/>
          <w:sz w:val="24"/>
        </w:rPr>
      </w:pP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Основными задачами бюджетного учета являются: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документированной, систематизированной и достоверной информации о деятельности Инспекции, его имущественном и финансовом положении;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своевременное предупреждение негативных явлений в финансово-хозяйственной деятельности;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своевременное, непрерывное и сплошное документирование всех хозяйственных операций по получению и использованию лимитов бюджетных обязательств Инспекции;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выявление и мобилизация внутрихозяйственных резервов;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правильное формирование и раскрытие информации об использовании бюджетных ассигнований Инспекции в отчетности об исполнении бюджетов бюджетной системы РФ;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информацией для контроля за своевременным, целевым и эффективным использованием выделенных лимитов бюджетных обязательств (ЛБО).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Ответственным за организацию ведения бюджетного учета и хранение документов бюджетного учета является начальник Инспекции. За формирование учетной политики, ведение бюджетного учета, своевременное представление полной и достоверной бюджетной отчетности отвечает заместитель начальника отдела обеспечения – главный бухгалтер.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Ведение бюджетного учета осуществляет отдел общего обеспечения Инспекции. Отдел подчиняется начальнику отдела Инспекции. Деятельность должностных лиц отдела регламентируется Положением об отделе общего обеспечения, утвержденным Начальником Инспекции и должностными регламентами.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по документальному оформлению хозяйственных операций и представлению в отдел общего обеспечения необходимых документов и сведений обязательны для всех должностных лиц Инспекции.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 имеет право не принимать документы о фактах финансово-хозяйственной деятельности, оформленные с нарушением требований законодательства РФ.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bookmarkStart w:id="0" w:name="P118"/>
      <w:bookmarkEnd w:id="0"/>
      <w:r>
        <w:rPr>
          <w:rFonts w:ascii="Times New Roman" w:hAnsi="Times New Roman"/>
          <w:sz w:val="24"/>
        </w:rPr>
        <w:t xml:space="preserve"> Инспекцией  при осуществлении своей деятельности применяются следующие коды вида финансового обеспечения (деятельности):</w:t>
      </w:r>
    </w:p>
    <w:p w:rsidR="004D5DFB" w:rsidRDefault="004160CB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hyperlink r:id="rId8" w:history="1">
        <w:r w:rsidR="00952E31">
          <w:rPr>
            <w:rFonts w:ascii="Times New Roman" w:hAnsi="Times New Roman"/>
            <w:sz w:val="24"/>
          </w:rPr>
          <w:t>1</w:t>
        </w:r>
      </w:hyperlink>
      <w:r w:rsidR="00952E31">
        <w:rPr>
          <w:rFonts w:ascii="Times New Roman" w:hAnsi="Times New Roman"/>
          <w:sz w:val="24"/>
        </w:rPr>
        <w:t xml:space="preserve"> - деятельность, осуществляемая за счет средств федерального бюджета бюджетной системы РФ (бюджетная деятельность);</w:t>
      </w:r>
    </w:p>
    <w:p w:rsidR="004D5DFB" w:rsidRDefault="004160CB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hyperlink r:id="rId9" w:history="1">
        <w:r w:rsidR="00952E31">
          <w:rPr>
            <w:rFonts w:ascii="Times New Roman" w:hAnsi="Times New Roman"/>
            <w:sz w:val="24"/>
          </w:rPr>
          <w:t>3</w:t>
        </w:r>
      </w:hyperlink>
      <w:r w:rsidR="00952E31">
        <w:rPr>
          <w:rFonts w:ascii="Times New Roman" w:hAnsi="Times New Roman"/>
          <w:sz w:val="24"/>
        </w:rPr>
        <w:t xml:space="preserve"> - средства во временном распоряжении.</w:t>
      </w:r>
    </w:p>
    <w:p w:rsidR="004D5DFB" w:rsidRDefault="00952E31">
      <w:pPr>
        <w:ind w:firstLine="851"/>
        <w:jc w:val="both"/>
        <w:rPr>
          <w:sz w:val="26"/>
        </w:rPr>
      </w:pPr>
      <w:r>
        <w:t xml:space="preserve"> Форма ведения бюджетного учета - автоматизированная с применением специализированной бухгалтерской программы «1С</w:t>
      </w:r>
      <w:proofErr w:type="gramStart"/>
      <w:r>
        <w:t>:П</w:t>
      </w:r>
      <w:proofErr w:type="gramEnd"/>
      <w:r>
        <w:t>редприятие. Бухгалтерия государственного учреждения 8».</w:t>
      </w:r>
      <w:r>
        <w:rPr>
          <w:sz w:val="26"/>
        </w:rPr>
        <w:t xml:space="preserve">  </w:t>
      </w:r>
    </w:p>
    <w:p w:rsidR="004D5DFB" w:rsidRDefault="00952E31">
      <w:pPr>
        <w:ind w:firstLine="851"/>
        <w:jc w:val="both"/>
      </w:pPr>
      <w:r>
        <w:t>В случае необходимости регистры бухгалтерского учета  распечатываются на бумажном  носителе. Срок хранения учетных регистров в электронном виде 5 лет.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 Критерии существенности информации,  пропуск или искажение которой влияет на экономическое решение пользователей информации:</w:t>
      </w:r>
    </w:p>
    <w:p w:rsidR="004D5DFB" w:rsidRDefault="00952E31">
      <w:pPr>
        <w:ind w:firstLine="851"/>
        <w:jc w:val="both"/>
      </w:pPr>
      <w:r>
        <w:t xml:space="preserve">Показатель считается существенным и приводится обособленно в бухгалтерском балансе, отчете о финансовых результатах, отчете о движении денежных средств, если его </w:t>
      </w:r>
      <w:proofErr w:type="spellStart"/>
      <w:r>
        <w:t>нераскрытие</w:t>
      </w:r>
      <w:proofErr w:type="spellEnd"/>
      <w:r>
        <w:t xml:space="preserve"> может повлиять на экономические решения заинтересованных пользователей, </w:t>
      </w:r>
      <w:r>
        <w:lastRenderedPageBreak/>
        <w:t>принимаемые на основе отчетной информации. При детализации статей вышеперечисленных форм существенной признается сумма, составляющая 10 % и более от показателя статьи. Показатели, составляющие менее 10% от показателя статьи, приводятся обособленно в случае, если это обусловлено их характером либо конкретными обстоятельствами возникновения.</w:t>
      </w:r>
    </w:p>
    <w:p w:rsidR="004D5DFB" w:rsidRDefault="00952E31">
      <w:pPr>
        <w:jc w:val="both"/>
      </w:pPr>
      <w:r>
        <w:t xml:space="preserve">         Ошибка, допущенная в бухгалтерском учете, признается существенной:</w:t>
      </w:r>
    </w:p>
    <w:p w:rsidR="004D5DFB" w:rsidRDefault="00952E31">
      <w:pPr>
        <w:pStyle w:val="a3"/>
        <w:numPr>
          <w:ilvl w:val="0"/>
          <w:numId w:val="1"/>
        </w:numPr>
        <w:jc w:val="both"/>
      </w:pPr>
      <w:r>
        <w:t>если она в отдельности или в совокупности с другими ошибками за один и тот же отчетный период приводит к искажению соответствующей статьи бухгалтерской отчетности на 10% и более;</w:t>
      </w:r>
    </w:p>
    <w:p w:rsidR="004D5DFB" w:rsidRDefault="00952E31">
      <w:pPr>
        <w:pStyle w:val="a3"/>
        <w:numPr>
          <w:ilvl w:val="0"/>
          <w:numId w:val="1"/>
        </w:numPr>
        <w:jc w:val="both"/>
      </w:pPr>
      <w:r>
        <w:t>независимо от величины искажения, если она в отдельности или в совокупности с другими ошибками за отчетный период может повлиять на экономические решения пользователей, принимаемые на основе бухгалтерской отчетности, составленной за этот отчетный период.</w:t>
      </w:r>
    </w:p>
    <w:p w:rsidR="004D5DFB" w:rsidRDefault="004D5DFB">
      <w:pPr>
        <w:pStyle w:val="ConsPlusNormal"/>
        <w:ind w:firstLine="539"/>
        <w:jc w:val="both"/>
        <w:rPr>
          <w:rFonts w:ascii="Times New Roman" w:hAnsi="Times New Roman"/>
          <w:sz w:val="24"/>
        </w:rPr>
      </w:pPr>
    </w:p>
    <w:p w:rsidR="004D5DFB" w:rsidRDefault="00952E31" w:rsidP="00150AC7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4D5DFB" w:rsidRDefault="00952E31">
      <w:pPr>
        <w:pStyle w:val="ConsPlusNormal"/>
        <w:ind w:firstLine="851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II. Методическая часть</w:t>
      </w:r>
    </w:p>
    <w:p w:rsidR="004D5DFB" w:rsidRDefault="004D5DFB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Основные средства 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Материальные запасы 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Денежные средства и денежные документы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Расчеты по обязательствам 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Финансовый результат 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Санкционирование расходов 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Учет внутриведомственных расчётов</w:t>
      </w: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proofErr w:type="spellStart"/>
      <w:r>
        <w:rPr>
          <w:rFonts w:ascii="Times New Roman" w:hAnsi="Times New Roman"/>
          <w:sz w:val="24"/>
        </w:rPr>
        <w:t>Забалансовые</w:t>
      </w:r>
      <w:proofErr w:type="spellEnd"/>
      <w:r>
        <w:rPr>
          <w:rFonts w:ascii="Times New Roman" w:hAnsi="Times New Roman"/>
          <w:sz w:val="24"/>
        </w:rPr>
        <w:t xml:space="preserve"> счета</w:t>
      </w:r>
    </w:p>
    <w:p w:rsidR="004D5DFB" w:rsidRDefault="004D5DFB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150AC7" w:rsidRPr="006C393F" w:rsidRDefault="00150AC7" w:rsidP="00150AC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bookmarkStart w:id="2" w:name="P272"/>
      <w:bookmarkEnd w:id="2"/>
      <w:r w:rsidRPr="006C393F">
        <w:rPr>
          <w:sz w:val="22"/>
          <w:szCs w:val="22"/>
        </w:rPr>
        <w:t xml:space="preserve">Инспекцией применяются Федеральные стандарты: "Концептуальные основы бухгалтерского учета и отчетности организаций государственного сектора",  </w:t>
      </w:r>
      <w:r w:rsidRPr="006C393F">
        <w:rPr>
          <w:rFonts w:eastAsiaTheme="minorHAnsi"/>
          <w:sz w:val="22"/>
          <w:szCs w:val="22"/>
          <w:lang w:eastAsia="en-US"/>
        </w:rPr>
        <w:t>«Основные средства», "Обесценение активов", "Аренда", "Представление бухгалтерской (финансовой) отчетности", "Учётная политика, оценочные значения и ошибки».</w:t>
      </w:r>
    </w:p>
    <w:p w:rsidR="004D5DFB" w:rsidRDefault="004D5DFB" w:rsidP="00150AC7">
      <w:pPr>
        <w:pStyle w:val="ConsPlusNormal"/>
        <w:ind w:firstLine="851"/>
        <w:outlineLvl w:val="2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             </w:t>
      </w:r>
      <w:r>
        <w:rPr>
          <w:rFonts w:ascii="Times New Roman" w:hAnsi="Times New Roman"/>
          <w:b/>
          <w:sz w:val="24"/>
        </w:rPr>
        <w:t xml:space="preserve">III. Порядок организации и обеспечения (осуществления) </w:t>
      </w:r>
    </w:p>
    <w:p w:rsidR="004D5DFB" w:rsidRDefault="00952E31">
      <w:pPr>
        <w:pStyle w:val="ConsPlusNormal"/>
        <w:ind w:firstLine="851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внутреннего финансового контроля</w:t>
      </w:r>
    </w:p>
    <w:p w:rsidR="004D5DFB" w:rsidRDefault="004D5DFB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4D5DFB" w:rsidRDefault="00952E31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4"/>
        </w:rPr>
        <w:t>Внутренний финансовый контроль осуществляется с целью обеспечения соблюдения законодательства Российской Федерации, нормативных правовых актов и иных актов (далее - НПА), регулирующих финансово-хозяйственную деятельность Инспекции,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 Внутренний финансовый контроль осуществляется должностными лицами отдела общего обеспечения Инспекции,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4D5DFB" w:rsidRDefault="00952E31">
      <w:pPr>
        <w:ind w:firstLine="851"/>
        <w:jc w:val="both"/>
      </w:pPr>
      <w:r>
        <w:t xml:space="preserve"> Задачами внутреннего финансового контроля являются:</w:t>
      </w:r>
    </w:p>
    <w:p w:rsidR="004D5DFB" w:rsidRDefault="00952E31">
      <w:pPr>
        <w:ind w:firstLine="851"/>
        <w:jc w:val="both"/>
      </w:pPr>
      <w:r>
        <w:t>- установление соответствия проводимых финансово-хозяйственных операций требованиям НПА и учетной политике Инспекции;</w:t>
      </w:r>
    </w:p>
    <w:p w:rsidR="004D5DFB" w:rsidRDefault="00952E31">
      <w:pPr>
        <w:ind w:firstLine="851"/>
        <w:jc w:val="both"/>
      </w:pPr>
      <w:r>
        <w:t>- установление полноты и достоверности отражения совершенных финансово-хозяйственных операций в учете и отчетности Инспекции;</w:t>
      </w:r>
    </w:p>
    <w:p w:rsidR="004D5DFB" w:rsidRDefault="00952E31">
      <w:pPr>
        <w:ind w:firstLine="851"/>
        <w:jc w:val="both"/>
      </w:pPr>
      <w:r>
        <w:t>- предупреждение и пресечение финансовых нарушений в процессе финансово-хозяйственной деятельности Инспекции;</w:t>
      </w:r>
    </w:p>
    <w:p w:rsidR="004D5DFB" w:rsidRDefault="00952E31">
      <w:pPr>
        <w:ind w:firstLine="851"/>
        <w:jc w:val="both"/>
      </w:pPr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сохранностью имущества Инспекции.</w:t>
      </w:r>
    </w:p>
    <w:p w:rsidR="004D5DFB" w:rsidRDefault="00952E31" w:rsidP="00150AC7">
      <w:pPr>
        <w:widowControl w:val="0"/>
        <w:ind w:firstLine="851"/>
        <w:jc w:val="both"/>
      </w:pPr>
      <w:r>
        <w:t xml:space="preserve"> </w:t>
      </w: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4D5DFB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</w:p>
    <w:p w:rsidR="004D5DFB" w:rsidRDefault="00952E31">
      <w:pPr>
        <w:pStyle w:val="ConsPlusNormal"/>
        <w:jc w:val="righ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2</w:t>
      </w:r>
    </w:p>
    <w:p w:rsidR="004D5DFB" w:rsidRDefault="00952E31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 приказу от 31.12.2019 № 02-06/12/22</w:t>
      </w:r>
    </w:p>
    <w:p w:rsidR="004D5DFB" w:rsidRDefault="004D5DFB">
      <w:pPr>
        <w:pStyle w:val="ConsPlusNormal"/>
        <w:jc w:val="right"/>
        <w:rPr>
          <w:rFonts w:ascii="Times New Roman" w:hAnsi="Times New Roman"/>
          <w:sz w:val="24"/>
        </w:rPr>
      </w:pPr>
    </w:p>
    <w:p w:rsidR="004D5DFB" w:rsidRDefault="004D5DFB">
      <w:pPr>
        <w:pStyle w:val="ConsPlusNormal"/>
        <w:jc w:val="both"/>
        <w:rPr>
          <w:rFonts w:ascii="Times New Roman" w:hAnsi="Times New Roman"/>
          <w:sz w:val="24"/>
        </w:rPr>
      </w:pPr>
    </w:p>
    <w:p w:rsidR="004D5DFB" w:rsidRDefault="004D5DFB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3" w:name="P3226"/>
      <w:bookmarkEnd w:id="3"/>
    </w:p>
    <w:p w:rsidR="004D5DFB" w:rsidRDefault="00952E3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Учетная политика Инспекции для целей налогообложения</w:t>
      </w:r>
    </w:p>
    <w:p w:rsidR="004D5DFB" w:rsidRDefault="004D5DFB">
      <w:pPr>
        <w:pStyle w:val="ConsPlusNormal"/>
        <w:jc w:val="both"/>
        <w:rPr>
          <w:rFonts w:ascii="Times New Roman" w:hAnsi="Times New Roman"/>
          <w:b/>
          <w:sz w:val="24"/>
        </w:rPr>
      </w:pPr>
    </w:p>
    <w:p w:rsidR="004D5DFB" w:rsidRDefault="00952E31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 Организационная часть</w:t>
      </w:r>
    </w:p>
    <w:p w:rsidR="004D5DFB" w:rsidRDefault="004D5DFB">
      <w:pPr>
        <w:pStyle w:val="ConsPlusNormal"/>
        <w:jc w:val="both"/>
        <w:rPr>
          <w:rFonts w:ascii="Times New Roman" w:hAnsi="Times New Roman"/>
          <w:sz w:val="24"/>
        </w:rPr>
      </w:pPr>
    </w:p>
    <w:p w:rsidR="004D5DFB" w:rsidRDefault="00952E31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Ответственным за постановку и ведение налогового учета в Инспекции является главный бухгалтер. Ведение налогового учета в Инспекции осуществляет отдел общего обеспечения.</w:t>
      </w:r>
    </w:p>
    <w:p w:rsidR="004D5DFB" w:rsidRDefault="00952E31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2.1.2. Налоговый учет в Инспекции ведется автоматизированным способом с применением программы «1С</w:t>
      </w:r>
      <w:proofErr w:type="gramStart"/>
      <w:r>
        <w:rPr>
          <w:rFonts w:ascii="Times New Roman" w:hAnsi="Times New Roman"/>
          <w:sz w:val="24"/>
        </w:rPr>
        <w:t>:П</w:t>
      </w:r>
      <w:proofErr w:type="gramEnd"/>
      <w:r>
        <w:rPr>
          <w:rFonts w:ascii="Times New Roman" w:hAnsi="Times New Roman"/>
          <w:sz w:val="24"/>
        </w:rPr>
        <w:t>редприятие. Бухгалтерия государственного учреждения».</w:t>
      </w:r>
    </w:p>
    <w:p w:rsidR="004D5DFB" w:rsidRDefault="00952E31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Регистры налогового учета ведутся на основе данных бюджетного учета. В качестве регистров налогового учета используются регистры бухгалтерского учета.   </w:t>
      </w:r>
    </w:p>
    <w:p w:rsidR="004D5DFB" w:rsidRDefault="00952E31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Налоговые регистры на бумажных носителях формируются Инспекцией ежеквартально.</w:t>
      </w:r>
    </w:p>
    <w:p w:rsidR="004D5DFB" w:rsidRDefault="00952E31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2.1.5. Ответственность за ведение налоговых регистров возлагается на главного бухгалтера.</w:t>
      </w:r>
    </w:p>
    <w:p w:rsidR="004D5DFB" w:rsidRDefault="00952E31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2.1.6. Инспекция использует электронный способ представления налоговой отчетности в налоговые органы по телекоммуникационным каналам связи.</w:t>
      </w:r>
    </w:p>
    <w:p w:rsidR="004D5DFB" w:rsidRDefault="004D5DFB">
      <w:pPr>
        <w:pStyle w:val="ConsPlusNormal"/>
        <w:jc w:val="both"/>
        <w:rPr>
          <w:rFonts w:ascii="Times New Roman" w:hAnsi="Times New Roman"/>
          <w:sz w:val="24"/>
        </w:rPr>
      </w:pPr>
    </w:p>
    <w:sectPr w:rsidR="004D5DFB">
      <w:headerReference w:type="default" r:id="rId10"/>
      <w:pgSz w:w="11905" w:h="16838"/>
      <w:pgMar w:top="680" w:right="851" w:bottom="567" w:left="1418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C9" w:rsidRDefault="006444C9">
      <w:r>
        <w:separator/>
      </w:r>
    </w:p>
  </w:endnote>
  <w:endnote w:type="continuationSeparator" w:id="0">
    <w:p w:rsidR="006444C9" w:rsidRDefault="0064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C9" w:rsidRDefault="006444C9">
      <w:r>
        <w:separator/>
      </w:r>
    </w:p>
  </w:footnote>
  <w:footnote w:type="continuationSeparator" w:id="0">
    <w:p w:rsidR="006444C9" w:rsidRDefault="0064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CB" w:rsidRDefault="004160C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214AA">
      <w:rPr>
        <w:noProof/>
      </w:rPr>
      <w:t>1</w:t>
    </w:r>
    <w:r>
      <w:fldChar w:fldCharType="end"/>
    </w:r>
  </w:p>
  <w:p w:rsidR="004160CB" w:rsidRDefault="004160CB">
    <w:pPr>
      <w:pStyle w:val="a5"/>
      <w:jc w:val="center"/>
    </w:pPr>
  </w:p>
  <w:p w:rsidR="004160CB" w:rsidRDefault="004160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02AE"/>
    <w:multiLevelType w:val="multilevel"/>
    <w:tmpl w:val="D5F6C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FB"/>
    <w:rsid w:val="00150AC7"/>
    <w:rsid w:val="002214AA"/>
    <w:rsid w:val="0028743C"/>
    <w:rsid w:val="003C7D63"/>
    <w:rsid w:val="004160CB"/>
    <w:rsid w:val="004D5DFB"/>
    <w:rsid w:val="006444C9"/>
    <w:rsid w:val="00792DA2"/>
    <w:rsid w:val="008C3186"/>
    <w:rsid w:val="00952E31"/>
    <w:rsid w:val="00C3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Знак1"/>
    <w:basedOn w:val="a"/>
    <w:link w:val="13"/>
    <w:pPr>
      <w:spacing w:after="160" w:line="240" w:lineRule="exact"/>
    </w:pPr>
    <w:rPr>
      <w:sz w:val="28"/>
    </w:rPr>
  </w:style>
  <w:style w:type="character" w:customStyle="1" w:styleId="13">
    <w:name w:val="Знак1"/>
    <w:basedOn w:val="1"/>
    <w:link w:val="12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с отступом 21"/>
    <w:basedOn w:val="a"/>
    <w:link w:val="211"/>
    <w:pPr>
      <w:ind w:left="-709" w:firstLine="709"/>
      <w:jc w:val="both"/>
    </w:p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Цитата1"/>
    <w:basedOn w:val="a"/>
    <w:link w:val="15"/>
    <w:pPr>
      <w:ind w:left="-709" w:right="-285" w:firstLine="709"/>
      <w:jc w:val="both"/>
    </w:pPr>
  </w:style>
  <w:style w:type="character" w:customStyle="1" w:styleId="15">
    <w:name w:val="Цитата1"/>
    <w:basedOn w:val="1"/>
    <w:link w:val="14"/>
    <w:rPr>
      <w:rFonts w:ascii="Times New Roman" w:hAnsi="Times New Roman"/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customStyle="1" w:styleId="a7">
    <w:name w:val="Гипертекстовая ссылка"/>
    <w:basedOn w:val="19"/>
    <w:link w:val="a8"/>
    <w:rPr>
      <w:color w:val="106BBE"/>
    </w:rPr>
  </w:style>
  <w:style w:type="character" w:customStyle="1" w:styleId="a8">
    <w:name w:val="Гипертекстовая ссылка"/>
    <w:basedOn w:val="1a"/>
    <w:link w:val="a7"/>
    <w:rPr>
      <w:color w:val="106BB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d">
    <w:name w:val="Обычный1"/>
    <w:link w:val="1e"/>
    <w:rPr>
      <w:rFonts w:ascii="Times New Roman" w:hAnsi="Times New Roman"/>
      <w:sz w:val="24"/>
    </w:rPr>
  </w:style>
  <w:style w:type="character" w:customStyle="1" w:styleId="1e">
    <w:name w:val="Обычный1"/>
    <w:link w:val="1d"/>
    <w:rPr>
      <w:rFonts w:ascii="Times New Roman" w:hAnsi="Times New Roman"/>
      <w:sz w:val="24"/>
    </w:rPr>
  </w:style>
  <w:style w:type="paragraph" w:customStyle="1" w:styleId="Oaeno">
    <w:name w:val="Oaeno"/>
    <w:basedOn w:val="a"/>
    <w:link w:val="Oaeno0"/>
    <w:pPr>
      <w:widowControl w:val="0"/>
    </w:pPr>
    <w:rPr>
      <w:rFonts w:ascii="Courier New" w:hAnsi="Courier New"/>
      <w:sz w:val="20"/>
    </w:rPr>
  </w:style>
  <w:style w:type="character" w:customStyle="1" w:styleId="Oaeno0">
    <w:name w:val="Oaeno"/>
    <w:basedOn w:val="1"/>
    <w:link w:val="Oaeno"/>
    <w:rPr>
      <w:rFonts w:ascii="Courier New" w:hAnsi="Courier New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33">
    <w:name w:val="Гиперссылка3"/>
    <w:link w:val="ad"/>
    <w:rPr>
      <w:color w:val="0000FF"/>
      <w:u w:val="single"/>
    </w:rPr>
  </w:style>
  <w:style w:type="character" w:styleId="ad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sz w:val="20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1">
    <w:name w:val="Обычный1"/>
    <w:link w:val="1f2"/>
    <w:rPr>
      <w:rFonts w:ascii="Times New Roman" w:hAnsi="Times New Roman"/>
      <w:sz w:val="24"/>
    </w:rPr>
  </w:style>
  <w:style w:type="character" w:customStyle="1" w:styleId="1f2">
    <w:name w:val="Обычный1"/>
    <w:link w:val="1f1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4"/>
    </w:rPr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Знак1"/>
    <w:basedOn w:val="a"/>
    <w:link w:val="13"/>
    <w:pPr>
      <w:spacing w:after="160" w:line="240" w:lineRule="exact"/>
    </w:pPr>
    <w:rPr>
      <w:sz w:val="28"/>
    </w:rPr>
  </w:style>
  <w:style w:type="character" w:customStyle="1" w:styleId="13">
    <w:name w:val="Знак1"/>
    <w:basedOn w:val="1"/>
    <w:link w:val="12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с отступом 21"/>
    <w:basedOn w:val="a"/>
    <w:link w:val="211"/>
    <w:pPr>
      <w:ind w:left="-709" w:firstLine="709"/>
      <w:jc w:val="both"/>
    </w:p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Цитата1"/>
    <w:basedOn w:val="a"/>
    <w:link w:val="15"/>
    <w:pPr>
      <w:ind w:left="-709" w:right="-285" w:firstLine="709"/>
      <w:jc w:val="both"/>
    </w:pPr>
  </w:style>
  <w:style w:type="character" w:customStyle="1" w:styleId="15">
    <w:name w:val="Цитата1"/>
    <w:basedOn w:val="1"/>
    <w:link w:val="14"/>
    <w:rPr>
      <w:rFonts w:ascii="Times New Roman" w:hAnsi="Times New Roman"/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customStyle="1" w:styleId="a7">
    <w:name w:val="Гипертекстовая ссылка"/>
    <w:basedOn w:val="19"/>
    <w:link w:val="a8"/>
    <w:rPr>
      <w:color w:val="106BBE"/>
    </w:rPr>
  </w:style>
  <w:style w:type="character" w:customStyle="1" w:styleId="a8">
    <w:name w:val="Гипертекстовая ссылка"/>
    <w:basedOn w:val="1a"/>
    <w:link w:val="a7"/>
    <w:rPr>
      <w:color w:val="106BB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d">
    <w:name w:val="Обычный1"/>
    <w:link w:val="1e"/>
    <w:rPr>
      <w:rFonts w:ascii="Times New Roman" w:hAnsi="Times New Roman"/>
      <w:sz w:val="24"/>
    </w:rPr>
  </w:style>
  <w:style w:type="character" w:customStyle="1" w:styleId="1e">
    <w:name w:val="Обычный1"/>
    <w:link w:val="1d"/>
    <w:rPr>
      <w:rFonts w:ascii="Times New Roman" w:hAnsi="Times New Roman"/>
      <w:sz w:val="24"/>
    </w:rPr>
  </w:style>
  <w:style w:type="paragraph" w:customStyle="1" w:styleId="Oaeno">
    <w:name w:val="Oaeno"/>
    <w:basedOn w:val="a"/>
    <w:link w:val="Oaeno0"/>
    <w:pPr>
      <w:widowControl w:val="0"/>
    </w:pPr>
    <w:rPr>
      <w:rFonts w:ascii="Courier New" w:hAnsi="Courier New"/>
      <w:sz w:val="20"/>
    </w:rPr>
  </w:style>
  <w:style w:type="character" w:customStyle="1" w:styleId="Oaeno0">
    <w:name w:val="Oaeno"/>
    <w:basedOn w:val="1"/>
    <w:link w:val="Oaeno"/>
    <w:rPr>
      <w:rFonts w:ascii="Courier New" w:hAnsi="Courier New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33">
    <w:name w:val="Гиперссылка3"/>
    <w:link w:val="ad"/>
    <w:rPr>
      <w:color w:val="0000FF"/>
      <w:u w:val="single"/>
    </w:rPr>
  </w:style>
  <w:style w:type="character" w:styleId="ad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sz w:val="20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1">
    <w:name w:val="Обычный1"/>
    <w:link w:val="1f2"/>
    <w:rPr>
      <w:rFonts w:ascii="Times New Roman" w:hAnsi="Times New Roman"/>
      <w:sz w:val="24"/>
    </w:rPr>
  </w:style>
  <w:style w:type="character" w:customStyle="1" w:styleId="1f2">
    <w:name w:val="Обычный1"/>
    <w:link w:val="1f1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4"/>
    </w:rPr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865BF15B87DCB33FF1070ADF5880E1AF9B9013BE962408F80AE463456913B61CEE47A24B25z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865BF15B87DCB33FF1070ADF5880E1AF9B9013BE962408F80AE463456913B61CEE47A24A25z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Жигалина Инна Геннадьевна</dc:creator>
  <cp:lastModifiedBy>Жигалина Инна Геннадьевна</cp:lastModifiedBy>
  <cp:revision>4</cp:revision>
  <dcterms:created xsi:type="dcterms:W3CDTF">2021-02-10T04:26:00Z</dcterms:created>
  <dcterms:modified xsi:type="dcterms:W3CDTF">2021-02-10T04:49:00Z</dcterms:modified>
</cp:coreProperties>
</file>